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D9BC" w14:textId="381ED80F" w:rsidR="007E7A02" w:rsidRDefault="007E7A02" w:rsidP="007610B3">
      <w:pPr>
        <w:jc w:val="center"/>
        <w:rPr>
          <w:rFonts w:ascii="Times New Roman" w:hAnsi="Times New Roman" w:cs="Times New Roman"/>
          <w:b/>
          <w:caps/>
          <w:sz w:val="28"/>
          <w:szCs w:val="28"/>
        </w:rPr>
      </w:pPr>
      <w:r>
        <w:rPr>
          <w:rFonts w:ascii="Times New Roman" w:hAnsi="Times New Roman" w:cs="Times New Roman"/>
          <w:b/>
          <w:caps/>
          <w:noProof/>
          <w:sz w:val="28"/>
          <w:szCs w:val="28"/>
        </w:rPr>
        <w:drawing>
          <wp:inline distT="0" distB="0" distL="0" distR="0" wp14:anchorId="4C952471" wp14:editId="0FA49618">
            <wp:extent cx="5485765" cy="1171575"/>
            <wp:effectExtent l="0" t="0" r="0" b="0"/>
            <wp:docPr id="10507591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5765" cy="1171575"/>
                    </a:xfrm>
                    <a:prstGeom prst="rect">
                      <a:avLst/>
                    </a:prstGeom>
                    <a:noFill/>
                  </pic:spPr>
                </pic:pic>
              </a:graphicData>
            </a:graphic>
          </wp:inline>
        </w:drawing>
      </w:r>
    </w:p>
    <w:p w14:paraId="6B56130A" w14:textId="03D15E6B" w:rsidR="007610B3" w:rsidRPr="003E4AA5" w:rsidRDefault="007610B3" w:rsidP="007610B3">
      <w:pPr>
        <w:jc w:val="center"/>
        <w:rPr>
          <w:rFonts w:ascii="Times New Roman" w:hAnsi="Times New Roman" w:cs="Times New Roman"/>
          <w:b/>
          <w:caps/>
          <w:sz w:val="28"/>
          <w:szCs w:val="28"/>
        </w:rPr>
      </w:pPr>
      <w:r w:rsidRPr="003E4AA5">
        <w:rPr>
          <w:rFonts w:ascii="Times New Roman" w:hAnsi="Times New Roman" w:cs="Times New Roman"/>
          <w:b/>
          <w:caps/>
          <w:sz w:val="28"/>
          <w:szCs w:val="28"/>
        </w:rPr>
        <w:t>Projekt címe:</w:t>
      </w:r>
    </w:p>
    <w:p w14:paraId="60254843" w14:textId="77777777" w:rsidR="007610B3" w:rsidRPr="006D2AD5" w:rsidRDefault="007610B3" w:rsidP="007610B3">
      <w:pPr>
        <w:jc w:val="center"/>
        <w:rPr>
          <w:rFonts w:ascii="Times New Roman" w:hAnsi="Times New Roman" w:cs="Times New Roman"/>
          <w:i/>
          <w:sz w:val="24"/>
          <w:szCs w:val="24"/>
        </w:rPr>
      </w:pPr>
      <w:r w:rsidRPr="006D2AD5">
        <w:rPr>
          <w:rFonts w:ascii="Times New Roman" w:hAnsi="Times New Roman" w:cs="Times New Roman"/>
          <w:i/>
          <w:sz w:val="24"/>
          <w:szCs w:val="24"/>
        </w:rPr>
        <w:t>„Beruházási és Önrészbiztosítási Célelőirányzat (BÖBE-VI/1/2024) keretében a "Horgászszervezetek kisléptékű infrastrukturális beruházásai a horgászati, horgászturisztikai szolgáltatás-fejlesztés érdekében"</w:t>
      </w:r>
    </w:p>
    <w:p w14:paraId="17926561" w14:textId="77777777" w:rsidR="007610B3" w:rsidRPr="006D2AD5" w:rsidRDefault="007610B3" w:rsidP="007610B3">
      <w:pPr>
        <w:jc w:val="center"/>
        <w:rPr>
          <w:rFonts w:ascii="Times New Roman" w:hAnsi="Times New Roman" w:cs="Times New Roman"/>
          <w:b/>
          <w:color w:val="000000" w:themeColor="text1"/>
          <w:sz w:val="28"/>
          <w:szCs w:val="28"/>
        </w:rPr>
      </w:pPr>
      <w:r w:rsidRPr="006D2AD5">
        <w:rPr>
          <w:rFonts w:ascii="Times New Roman" w:hAnsi="Times New Roman" w:cs="Times New Roman"/>
          <w:b/>
          <w:caps/>
          <w:color w:val="000000" w:themeColor="text1"/>
          <w:sz w:val="28"/>
          <w:szCs w:val="28"/>
        </w:rPr>
        <w:t>Támogatási szerződés száma:</w:t>
      </w:r>
      <w:r w:rsidRPr="006D2AD5">
        <w:rPr>
          <w:rFonts w:ascii="Times New Roman" w:hAnsi="Times New Roman" w:cs="Times New Roman"/>
          <w:b/>
          <w:sz w:val="28"/>
          <w:szCs w:val="28"/>
        </w:rPr>
        <w:t xml:space="preserve"> 784-1/2025.</w:t>
      </w:r>
    </w:p>
    <w:p w14:paraId="664804F1" w14:textId="77777777" w:rsidR="004E5352" w:rsidRDefault="004E5352" w:rsidP="007610B3">
      <w:pPr>
        <w:spacing w:line="276" w:lineRule="auto"/>
        <w:jc w:val="both"/>
        <w:rPr>
          <w:rFonts w:ascii="Times New Roman" w:hAnsi="Times New Roman" w:cs="Times New Roman"/>
          <w:b/>
          <w:sz w:val="24"/>
          <w:szCs w:val="24"/>
        </w:rPr>
      </w:pPr>
    </w:p>
    <w:p w14:paraId="73F26F0F" w14:textId="77777777" w:rsidR="007610B3" w:rsidRDefault="007610B3" w:rsidP="007610B3">
      <w:pPr>
        <w:spacing w:line="276" w:lineRule="auto"/>
        <w:jc w:val="both"/>
        <w:rPr>
          <w:rFonts w:ascii="Times New Roman" w:hAnsi="Times New Roman" w:cs="Times New Roman"/>
          <w:b/>
          <w:sz w:val="24"/>
          <w:szCs w:val="24"/>
        </w:rPr>
      </w:pPr>
      <w:r w:rsidRPr="006D2AD5">
        <w:rPr>
          <w:rFonts w:ascii="Times New Roman" w:hAnsi="Times New Roman" w:cs="Times New Roman"/>
          <w:b/>
          <w:sz w:val="24"/>
          <w:szCs w:val="24"/>
        </w:rPr>
        <w:t>PROJEKT BEMUTATÁSA</w:t>
      </w:r>
    </w:p>
    <w:p w14:paraId="47A1F1B3" w14:textId="77777777" w:rsidR="00543602" w:rsidRDefault="007610B3" w:rsidP="007610B3">
      <w:pPr>
        <w:pStyle w:val="NormlWeb"/>
        <w:spacing w:line="276" w:lineRule="auto"/>
        <w:jc w:val="both"/>
      </w:pPr>
      <w:r>
        <w:t>Az Alpesi Fogadó és Horgászturisztikai Központ – amely 2006-ban épült, és a Szövetség 100%-os tulajdonában áll – működésének középpontjában a horgászok és a turisztikai szolgáltatásokat igénybe vevők színvonalas kiszolgálása áll. Ennek érdekében a Szövetség az elmúlt időszakban átfogó, fenntarthatóságot és hatékonyságot szem előtt tartó fejlesztéseket valósított meg.</w:t>
      </w:r>
      <w:r>
        <w:tab/>
      </w:r>
      <w:r>
        <w:br/>
        <w:t xml:space="preserve">A beruházások egyik kiemelt eleme a napelemes rendszer bővítése volt, amelynek eredményeként az intézmény villamosenergia-igényének </w:t>
      </w:r>
      <w:r w:rsidR="007E7A02">
        <w:t>teljes egésze</w:t>
      </w:r>
      <w:r>
        <w:t xml:space="preserve"> saját, megújuló energiaforrásból biztosítható. A fejlesztés hozzájárult az energiaköltségek csökkentéséhez, az áramszolgáltatótól való függőség mérsékléséhez, valamint a rezsikiadások hosszú távú stabilizálásához.</w:t>
      </w:r>
      <w:r>
        <w:br/>
        <w:t xml:space="preserve">Megvalósult az ügyfélszolgálati klímaberendezés cseréje, továbbá megtörtént a közel húsz éve használt fürdőszobák, mosdók, irodai és közösségi terek, valamint a dolgozói konyha és étkező felújítása. Ezek a fejlesztések érdemben javították a munkakörnyezetet, a vendégkomfortot és a Szövetség általános </w:t>
      </w:r>
      <w:r w:rsidR="007E7A02">
        <w:t xml:space="preserve">ügyfélforgalmi </w:t>
      </w:r>
      <w:r>
        <w:t>megjelenését. A nagyobb rendezvények és a horgászok kiszolgálását mobil WC beszerzése segítette</w:t>
      </w:r>
      <w:r w:rsidR="007E7A02">
        <w:t xml:space="preserve">. </w:t>
      </w:r>
      <w:r>
        <w:t>Az épület energiahatékonyságának további növelése érdekében megtörtént az elöregedett ablakok és ablakpárkányok felújítása, valamint az ablakok szigetelésének korszerűsítése, amely csökkentette a hőveszteséget, mérsékelte az energiafelhasználást és esztétikailag is javította az ingatlan állapotát.</w:t>
      </w:r>
      <w:r>
        <w:tab/>
      </w:r>
      <w:r>
        <w:tab/>
      </w:r>
      <w:r>
        <w:tab/>
      </w:r>
      <w:r>
        <w:br/>
      </w:r>
    </w:p>
    <w:p w14:paraId="057721B4" w14:textId="284DB192" w:rsidR="007E7A02" w:rsidRDefault="007610B3" w:rsidP="007610B3">
      <w:pPr>
        <w:pStyle w:val="NormlWeb"/>
        <w:spacing w:line="276" w:lineRule="auto"/>
        <w:jc w:val="both"/>
      </w:pPr>
      <w:r>
        <w:t>A</w:t>
      </w:r>
      <w:r w:rsidR="007E7A02">
        <w:t>z Alpesi Fogadó és Horgászturisztikai Központ</w:t>
      </w:r>
      <w:r>
        <w:t xml:space="preserve"> szálláshely</w:t>
      </w:r>
      <w:r w:rsidR="007E7A02">
        <w:t>einek</w:t>
      </w:r>
      <w:r>
        <w:t xml:space="preserve"> működésének modernizálása keretében bevezetésre kerültek az okos kilincsek és a beléptető rendszer, amely automatizált be- és kijelentkezést, költséghatékonyabb üzemeltetést, rugalmas vendégérkezést és magasabb szintű biztonságot tesznek lehetővé. Az éttermi à la carte szolgáltatás megszűnésére reagálva a </w:t>
      </w:r>
      <w:r w:rsidR="007E7A02">
        <w:t xml:space="preserve">három </w:t>
      </w:r>
      <w:r>
        <w:t>szob</w:t>
      </w:r>
      <w:r w:rsidR="007E7A02">
        <w:t>a esetében</w:t>
      </w:r>
      <w:r>
        <w:t xml:space="preserve"> konyhával történő felszerelése is megvalósult, amely biztosítja az önellátás lehetőségét, növeli a vendégelégedettséget és erősíti a fogadó piaci versenyképességét.</w:t>
      </w:r>
      <w:r>
        <w:tab/>
      </w:r>
    </w:p>
    <w:p w14:paraId="08A3DB8E" w14:textId="4BC35DB6" w:rsidR="00797746" w:rsidRDefault="00797746" w:rsidP="007610B3">
      <w:pPr>
        <w:pStyle w:val="NormlWeb"/>
        <w:spacing w:line="276" w:lineRule="auto"/>
        <w:jc w:val="both"/>
      </w:pPr>
    </w:p>
    <w:p w14:paraId="369B86AA" w14:textId="01ADEE83" w:rsidR="007610B3" w:rsidRDefault="007610B3" w:rsidP="007610B3">
      <w:pPr>
        <w:pStyle w:val="NormlWeb"/>
        <w:spacing w:line="276" w:lineRule="auto"/>
        <w:jc w:val="both"/>
      </w:pPr>
      <w:r>
        <w:lastRenderedPageBreak/>
        <w:t xml:space="preserve">A biztonság további fokozása érdekében okos riasztó- és füstérzékelő rendszerek kerültek </w:t>
      </w:r>
      <w:r w:rsidR="007E7A02">
        <w:t>megújításra</w:t>
      </w:r>
      <w:r>
        <w:t xml:space="preserve">, amelyek valós idejű értesítést, pontosabb tűzérzékelést, energiatakarékos működést és más okos rendszerekkel való integrálhatóságot biztosítanak. </w:t>
      </w:r>
      <w:r>
        <w:tab/>
      </w:r>
      <w:r>
        <w:tab/>
      </w:r>
      <w:r>
        <w:br/>
        <w:t>Összességében a megvalósult fejlesztések jelentősen javították az Alpesi Fogadó és Horgászturisztikai Központ energiahatékonyságát, biztonságát, üzemeltetési hatékonyságát és szolgáltatási színvonalát, valamint hosszú távon erősítették a Szövetség gazdasági stabilitását, vonzerejét és jó hírnevét.</w:t>
      </w:r>
    </w:p>
    <w:p w14:paraId="0789F71C" w14:textId="2CB0D50B" w:rsidR="007610B3" w:rsidRDefault="007610B3" w:rsidP="007610B3">
      <w:pPr>
        <w:pStyle w:val="NormlWeb"/>
        <w:jc w:val="both"/>
        <w:rPr>
          <w:b/>
        </w:rPr>
      </w:pPr>
      <w:r>
        <w:rPr>
          <w:b/>
        </w:rPr>
        <w:br/>
      </w:r>
      <w:r w:rsidR="007E7A02">
        <w:rPr>
          <w:b/>
        </w:rPr>
        <w:t xml:space="preserve">MEGVALÓSULT </w:t>
      </w:r>
      <w:r>
        <w:rPr>
          <w:b/>
        </w:rPr>
        <w:t>PROJKETTEVÉKENYSÉGEK:</w:t>
      </w:r>
    </w:p>
    <w:p w14:paraId="52D9AE5C" w14:textId="77777777" w:rsidR="007610B3" w:rsidRPr="00FF353D" w:rsidRDefault="007610B3" w:rsidP="007610B3">
      <w:pPr>
        <w:pStyle w:val="NormlWeb"/>
        <w:numPr>
          <w:ilvl w:val="0"/>
          <w:numId w:val="1"/>
        </w:numPr>
        <w:jc w:val="both"/>
      </w:pPr>
      <w:r w:rsidRPr="00FF353D">
        <w:t>Horgászturisztikai Központ ablakainak a felújítása</w:t>
      </w:r>
      <w:r>
        <w:t>.</w:t>
      </w:r>
    </w:p>
    <w:p w14:paraId="0402DA50" w14:textId="77777777" w:rsidR="007610B3" w:rsidRPr="00FF353D" w:rsidRDefault="007610B3" w:rsidP="007610B3">
      <w:pPr>
        <w:pStyle w:val="NormlWeb"/>
        <w:numPr>
          <w:ilvl w:val="0"/>
          <w:numId w:val="1"/>
        </w:numPr>
        <w:tabs>
          <w:tab w:val="left" w:pos="284"/>
        </w:tabs>
        <w:jc w:val="both"/>
      </w:pPr>
      <w:r w:rsidRPr="00FF353D">
        <w:rPr>
          <w:bCs/>
        </w:rPr>
        <w:t>INIM Smartliving behatolás- és vészjelző rendszer beszerzése</w:t>
      </w:r>
      <w:r w:rsidRPr="00FF353D">
        <w:t xml:space="preserve">, valamint </w:t>
      </w:r>
      <w:r w:rsidRPr="00FF353D">
        <w:rPr>
          <w:bCs/>
        </w:rPr>
        <w:t>okos riasztó t</w:t>
      </w:r>
      <w:r w:rsidRPr="00FF353D">
        <w:t xml:space="preserve">elepítése; a meglévő </w:t>
      </w:r>
      <w:r w:rsidRPr="00FF353D">
        <w:rPr>
          <w:bCs/>
        </w:rPr>
        <w:t>napelemes rendszer bővítése 17,8 kWp teljesítménnyel, klímaberendezés beszerzése és telepítése, és okos kilincs rendszer beszerzése és kiépítése</w:t>
      </w:r>
      <w:r>
        <w:rPr>
          <w:bCs/>
        </w:rPr>
        <w:t>.</w:t>
      </w:r>
    </w:p>
    <w:p w14:paraId="7C7DEF33" w14:textId="77777777" w:rsidR="007610B3" w:rsidRPr="00FF353D" w:rsidRDefault="007610B3" w:rsidP="007610B3">
      <w:pPr>
        <w:pStyle w:val="NormlWeb"/>
        <w:numPr>
          <w:ilvl w:val="0"/>
          <w:numId w:val="1"/>
        </w:numPr>
        <w:tabs>
          <w:tab w:val="left" w:pos="284"/>
        </w:tabs>
        <w:jc w:val="both"/>
      </w:pPr>
      <w:r w:rsidRPr="00FF353D">
        <w:rPr>
          <w:bCs/>
        </w:rPr>
        <w:t>Mobil WC - comfort, kézmosós</w:t>
      </w:r>
      <w:r w:rsidRPr="00FF353D">
        <w:t xml:space="preserve"> beszerzése</w:t>
      </w:r>
      <w:r>
        <w:t>.</w:t>
      </w:r>
    </w:p>
    <w:p w14:paraId="064E63F4" w14:textId="77777777" w:rsidR="007610B3" w:rsidRPr="00FF353D" w:rsidRDefault="007610B3" w:rsidP="007610B3">
      <w:pPr>
        <w:pStyle w:val="NormlWeb"/>
        <w:numPr>
          <w:ilvl w:val="0"/>
          <w:numId w:val="1"/>
        </w:numPr>
        <w:tabs>
          <w:tab w:val="left" w:pos="284"/>
        </w:tabs>
        <w:jc w:val="both"/>
      </w:pPr>
      <w:r w:rsidRPr="00FF353D">
        <w:t>Cabernet</w:t>
      </w:r>
      <w:r w:rsidRPr="00FF353D">
        <w:rPr>
          <w:spacing w:val="-10"/>
        </w:rPr>
        <w:t xml:space="preserve"> </w:t>
      </w:r>
      <w:r w:rsidRPr="00FF353D">
        <w:t>Sauvignon”</w:t>
      </w:r>
      <w:r w:rsidRPr="00FF353D">
        <w:rPr>
          <w:spacing w:val="-10"/>
        </w:rPr>
        <w:t xml:space="preserve">, </w:t>
      </w:r>
      <w:r w:rsidRPr="00FF353D">
        <w:t>“Kékfrankos” és „Aranyhárs”</w:t>
      </w:r>
      <w:r w:rsidRPr="00FF353D">
        <w:rPr>
          <w:spacing w:val="-10"/>
        </w:rPr>
        <w:t xml:space="preserve"> </w:t>
      </w:r>
      <w:r w:rsidRPr="00FF353D">
        <w:t>apartmanok előterében lévő teljesértékű konyha kialakítása, a Sporthorgász</w:t>
      </w:r>
      <w:r w:rsidRPr="00FF353D">
        <w:rPr>
          <w:spacing w:val="-10"/>
        </w:rPr>
        <w:t xml:space="preserve"> </w:t>
      </w:r>
      <w:r w:rsidRPr="00FF353D">
        <w:t>Egyesületek</w:t>
      </w:r>
      <w:r w:rsidRPr="00FF353D">
        <w:rPr>
          <w:spacing w:val="-8"/>
        </w:rPr>
        <w:t xml:space="preserve"> </w:t>
      </w:r>
      <w:r w:rsidRPr="00FF353D">
        <w:t>Vas</w:t>
      </w:r>
      <w:r w:rsidRPr="00FF353D">
        <w:rPr>
          <w:spacing w:val="-8"/>
        </w:rPr>
        <w:t xml:space="preserve"> </w:t>
      </w:r>
      <w:r w:rsidRPr="00FF353D">
        <w:t>Megyei</w:t>
      </w:r>
      <w:r w:rsidRPr="00FF353D">
        <w:rPr>
          <w:spacing w:val="-8"/>
        </w:rPr>
        <w:t xml:space="preserve"> </w:t>
      </w:r>
      <w:r w:rsidRPr="00FF353D">
        <w:rPr>
          <w:spacing w:val="-2"/>
        </w:rPr>
        <w:t>Szövetsége székhelyén, a Szövetség munkatársai részére biztosított konyhabútor komplett cseréje, régi bútorzat elbontása</w:t>
      </w:r>
      <w:r>
        <w:rPr>
          <w:spacing w:val="-2"/>
        </w:rPr>
        <w:t>.</w:t>
      </w:r>
    </w:p>
    <w:p w14:paraId="085D34D3" w14:textId="77777777" w:rsidR="007610B3" w:rsidRPr="00FF353D" w:rsidRDefault="007610B3" w:rsidP="007610B3">
      <w:pPr>
        <w:pStyle w:val="Listaszerbekezds"/>
        <w:numPr>
          <w:ilvl w:val="0"/>
          <w:numId w:val="1"/>
        </w:numPr>
        <w:tabs>
          <w:tab w:val="left" w:pos="284"/>
        </w:tabs>
        <w:spacing w:after="0" w:line="276" w:lineRule="auto"/>
        <w:jc w:val="both"/>
        <w:rPr>
          <w:rFonts w:ascii="Times New Roman" w:hAnsi="Times New Roman" w:cs="Times New Roman"/>
          <w:sz w:val="24"/>
          <w:szCs w:val="24"/>
        </w:rPr>
      </w:pPr>
      <w:r w:rsidRPr="00FF353D">
        <w:rPr>
          <w:rFonts w:ascii="Times New Roman" w:hAnsi="Times New Roman" w:cs="Times New Roman"/>
          <w:sz w:val="24"/>
          <w:szCs w:val="24"/>
        </w:rPr>
        <w:t>Horgászturisztikai Központ ügyviteli iroda mosdóinak régi járólap burkolatainak bontás és újra burkolás, Horgászturisztikai Központ ügyviteli irodai konyha régi járólap burkolatainak bontás és újra burkolás, kapcsolódó falazási munkákkal, Horgászturisztikai Központ turisztikai (szobák, apartmanok) helyiségeinek járólap burkolatainak bontása és újra burkolása</w:t>
      </w:r>
      <w:r>
        <w:rPr>
          <w:rFonts w:ascii="Times New Roman" w:hAnsi="Times New Roman" w:cs="Times New Roman"/>
          <w:sz w:val="24"/>
          <w:szCs w:val="24"/>
        </w:rPr>
        <w:t>, kapcsolódó falazási munkákkal.</w:t>
      </w:r>
    </w:p>
    <w:p w14:paraId="7AC04A6E" w14:textId="77777777" w:rsidR="007610B3" w:rsidRPr="00FF353D" w:rsidRDefault="007610B3" w:rsidP="007610B3">
      <w:pPr>
        <w:pStyle w:val="NormlWeb"/>
        <w:numPr>
          <w:ilvl w:val="0"/>
          <w:numId w:val="1"/>
        </w:numPr>
        <w:tabs>
          <w:tab w:val="left" w:pos="284"/>
        </w:tabs>
        <w:jc w:val="both"/>
      </w:pPr>
      <w:r w:rsidRPr="00FF353D">
        <w:t>Horgászturisztikai Központ szobáihoz tartozó fürdőszobák felújítása, valamint a fürdőszobai termékek beszerzése</w:t>
      </w:r>
      <w:r>
        <w:t>.</w:t>
      </w:r>
    </w:p>
    <w:p w14:paraId="3DF45E9D" w14:textId="77777777" w:rsidR="007610B3" w:rsidRDefault="007610B3" w:rsidP="007610B3">
      <w:pPr>
        <w:pStyle w:val="NormlWeb"/>
        <w:jc w:val="both"/>
        <w:rPr>
          <w:b/>
        </w:rPr>
      </w:pPr>
      <w:r w:rsidRPr="00B10308">
        <w:rPr>
          <w:b/>
        </w:rPr>
        <w:t>PROJEKT IDŐTARTAMA</w:t>
      </w:r>
      <w:r>
        <w:rPr>
          <w:b/>
        </w:rPr>
        <w:t xml:space="preserve">: </w:t>
      </w:r>
      <w:r>
        <w:rPr>
          <w:b/>
        </w:rPr>
        <w:tab/>
      </w:r>
      <w:r>
        <w:rPr>
          <w:b/>
        </w:rPr>
        <w:tab/>
      </w:r>
      <w:r>
        <w:rPr>
          <w:b/>
        </w:rPr>
        <w:tab/>
      </w:r>
      <w:r>
        <w:rPr>
          <w:b/>
        </w:rPr>
        <w:tab/>
      </w:r>
    </w:p>
    <w:p w14:paraId="62DE823A" w14:textId="77777777" w:rsidR="007610B3" w:rsidRDefault="007610B3" w:rsidP="007610B3">
      <w:pPr>
        <w:pStyle w:val="NormlWeb"/>
        <w:numPr>
          <w:ilvl w:val="0"/>
          <w:numId w:val="2"/>
        </w:numPr>
        <w:jc w:val="both"/>
        <w:rPr>
          <w:b/>
        </w:rPr>
      </w:pPr>
      <w:r w:rsidRPr="00B63596">
        <w:t>2024. október 30 – 2026. január 31.</w:t>
      </w:r>
    </w:p>
    <w:p w14:paraId="0D36D912" w14:textId="77777777" w:rsidR="007610B3" w:rsidRDefault="007610B3" w:rsidP="007610B3">
      <w:pPr>
        <w:pStyle w:val="NormlWeb"/>
        <w:spacing w:line="276" w:lineRule="auto"/>
        <w:jc w:val="both"/>
        <w:rPr>
          <w:b/>
        </w:rPr>
      </w:pPr>
      <w:r>
        <w:rPr>
          <w:b/>
        </w:rPr>
        <w:t>PROJEKT MEGVALÓSÍTÁS HELYSZÍNE:</w:t>
      </w:r>
      <w:r>
        <w:rPr>
          <w:b/>
        </w:rPr>
        <w:tab/>
      </w:r>
      <w:r>
        <w:rPr>
          <w:b/>
        </w:rPr>
        <w:tab/>
      </w:r>
    </w:p>
    <w:p w14:paraId="0C322D88" w14:textId="77777777" w:rsidR="007610B3" w:rsidRDefault="007610B3" w:rsidP="007610B3">
      <w:pPr>
        <w:pStyle w:val="NormlWeb"/>
        <w:numPr>
          <w:ilvl w:val="0"/>
          <w:numId w:val="3"/>
        </w:numPr>
        <w:spacing w:line="276" w:lineRule="auto"/>
        <w:jc w:val="both"/>
        <w:rPr>
          <w:b/>
        </w:rPr>
      </w:pPr>
      <w:r w:rsidRPr="00B63596">
        <w:t>Sporthorgász Egyesületek Vas Megyei Szövetsége</w:t>
      </w:r>
      <w:r w:rsidRPr="00B63596">
        <w:tab/>
      </w:r>
      <w:r>
        <w:rPr>
          <w:b/>
        </w:rPr>
        <w:tab/>
      </w:r>
      <w:r>
        <w:rPr>
          <w:b/>
        </w:rPr>
        <w:tab/>
      </w:r>
    </w:p>
    <w:p w14:paraId="115062B3" w14:textId="43929BEC" w:rsidR="00B15156" w:rsidRDefault="007610B3" w:rsidP="00B15156">
      <w:pPr>
        <w:pStyle w:val="NormlWeb"/>
        <w:numPr>
          <w:ilvl w:val="0"/>
          <w:numId w:val="3"/>
        </w:numPr>
        <w:spacing w:line="276" w:lineRule="auto"/>
        <w:jc w:val="both"/>
      </w:pPr>
      <w:r w:rsidRPr="00B63596">
        <w:t>9795 Vaskeresztes, 165/4. hrsz.</w:t>
      </w:r>
    </w:p>
    <w:p w14:paraId="38ACC405" w14:textId="0DD8BD6E" w:rsidR="00797746" w:rsidRPr="004E5352" w:rsidRDefault="004E5352" w:rsidP="004E5352">
      <w:pPr>
        <w:pStyle w:val="NormlWeb"/>
        <w:spacing w:line="276" w:lineRule="auto"/>
        <w:jc w:val="both"/>
        <w:rPr>
          <w:b/>
        </w:rPr>
      </w:pPr>
      <w:r w:rsidRPr="004E5352">
        <w:rPr>
          <w:b/>
        </w:rPr>
        <w:t xml:space="preserve">A PROJEKT TELJES KÖLTSÉGVETÉSE NETTÓ 17.646.141 FT, AMELYHEZ A MAGYAR ORSZÁGOS HORGÁSZ SZÖVETSÉG NETTÓ 85 SZÁZALÉKOS, 14.990.220 FT TÁMOGATÁST BIZTOSÍTOTT. </w:t>
      </w:r>
      <w:r w:rsidR="00797746" w:rsidRPr="00797746">
        <w:rPr>
          <w:b/>
          <w:caps/>
        </w:rPr>
        <w:t>Jelen fejlesztés a MOHOSZ Beruházási és Önrészbiztosítási Célelőirányzatának pályázati támogatásával valósult meg</w:t>
      </w:r>
      <w:r w:rsidR="00797746">
        <w:rPr>
          <w:b/>
          <w:caps/>
        </w:rPr>
        <w:t>.</w:t>
      </w:r>
    </w:p>
    <w:p w14:paraId="64808A6A" w14:textId="20EEFDDD" w:rsidR="00B15156" w:rsidRPr="00797746" w:rsidRDefault="007E7A02" w:rsidP="00797746">
      <w:pPr>
        <w:pStyle w:val="NormlWeb"/>
        <w:spacing w:line="276" w:lineRule="auto"/>
        <w:jc w:val="center"/>
        <w:rPr>
          <w:b/>
          <w:bCs/>
          <w:i/>
          <w:iCs/>
          <w:sz w:val="22"/>
          <w:szCs w:val="22"/>
        </w:rPr>
      </w:pPr>
      <w:r w:rsidRPr="00797746">
        <w:rPr>
          <w:b/>
          <w:bCs/>
          <w:i/>
          <w:iCs/>
          <w:sz w:val="22"/>
          <w:szCs w:val="22"/>
        </w:rPr>
        <w:t xml:space="preserve">KÖSZÖNJÜK A </w:t>
      </w:r>
      <w:proofErr w:type="gramStart"/>
      <w:r w:rsidRPr="00797746">
        <w:rPr>
          <w:b/>
          <w:bCs/>
          <w:i/>
          <w:iCs/>
          <w:sz w:val="22"/>
          <w:szCs w:val="22"/>
        </w:rPr>
        <w:t>TÁMOGATÁST  A</w:t>
      </w:r>
      <w:proofErr w:type="gramEnd"/>
      <w:r w:rsidRPr="00797746">
        <w:rPr>
          <w:b/>
          <w:bCs/>
          <w:i/>
          <w:iCs/>
          <w:sz w:val="22"/>
          <w:szCs w:val="22"/>
        </w:rPr>
        <w:t xml:space="preserve"> MAGYAR ORSZÁGOS HORGÁSZ SZÖVETSÉGNEK!</w:t>
      </w:r>
    </w:p>
    <w:sectPr w:rsidR="00B15156" w:rsidRPr="00797746" w:rsidSect="007E7A02">
      <w:footerReference w:type="default" r:id="rId8"/>
      <w:pgSz w:w="11906" w:h="16838"/>
      <w:pgMar w:top="73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1F3C" w14:textId="77777777" w:rsidR="00145C36" w:rsidRDefault="00145C36" w:rsidP="007610B3">
      <w:pPr>
        <w:spacing w:after="0" w:line="240" w:lineRule="auto"/>
      </w:pPr>
      <w:r>
        <w:separator/>
      </w:r>
    </w:p>
  </w:endnote>
  <w:endnote w:type="continuationSeparator" w:id="0">
    <w:p w14:paraId="425EA87F" w14:textId="77777777" w:rsidR="00145C36" w:rsidRDefault="00145C36" w:rsidP="0076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1EE" w14:textId="1B80042D" w:rsidR="007610B3" w:rsidRDefault="00797746" w:rsidP="00797746">
    <w:pPr>
      <w:pStyle w:val="llb"/>
      <w:jc w:val="center"/>
    </w:pPr>
    <w:r>
      <w:rPr>
        <w:noProof/>
      </w:rPr>
      <w:drawing>
        <wp:inline distT="0" distB="0" distL="0" distR="0" wp14:anchorId="192CF2F0" wp14:editId="69DA6EF7">
          <wp:extent cx="2724456" cy="769620"/>
          <wp:effectExtent l="0" t="0" r="0" b="0"/>
          <wp:docPr id="1491471802" name="Kép 2" descr="A képen szöveg, Betűtípus, emblém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71802" name="Kép 2" descr="A képen szöveg, Betűtípus, embléma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102" cy="7785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2CDF" w14:textId="77777777" w:rsidR="00145C36" w:rsidRDefault="00145C36" w:rsidP="007610B3">
      <w:pPr>
        <w:spacing w:after="0" w:line="240" w:lineRule="auto"/>
      </w:pPr>
      <w:r>
        <w:separator/>
      </w:r>
    </w:p>
  </w:footnote>
  <w:footnote w:type="continuationSeparator" w:id="0">
    <w:p w14:paraId="0AD5077A" w14:textId="77777777" w:rsidR="00145C36" w:rsidRDefault="00145C36" w:rsidP="0076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14C"/>
    <w:multiLevelType w:val="hybridMultilevel"/>
    <w:tmpl w:val="3972189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E245EC0"/>
    <w:multiLevelType w:val="hybridMultilevel"/>
    <w:tmpl w:val="84E6F81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84571E7"/>
    <w:multiLevelType w:val="hybridMultilevel"/>
    <w:tmpl w:val="E52C755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40339461">
    <w:abstractNumId w:val="0"/>
  </w:num>
  <w:num w:numId="2" w16cid:durableId="1161508685">
    <w:abstractNumId w:val="2"/>
  </w:num>
  <w:num w:numId="3" w16cid:durableId="63093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B3"/>
    <w:rsid w:val="000D3BFF"/>
    <w:rsid w:val="00145C36"/>
    <w:rsid w:val="004E5352"/>
    <w:rsid w:val="00543602"/>
    <w:rsid w:val="007610B3"/>
    <w:rsid w:val="00797746"/>
    <w:rsid w:val="007E7A02"/>
    <w:rsid w:val="008B70AA"/>
    <w:rsid w:val="00B15156"/>
    <w:rsid w:val="00E901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79664"/>
  <w15:docId w15:val="{97C98863-6901-468B-9830-4D034E0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10B3"/>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610B3"/>
    <w:pPr>
      <w:tabs>
        <w:tab w:val="center" w:pos="4536"/>
        <w:tab w:val="right" w:pos="9072"/>
      </w:tabs>
      <w:spacing w:after="0" w:line="240" w:lineRule="auto"/>
    </w:pPr>
  </w:style>
  <w:style w:type="character" w:customStyle="1" w:styleId="lfejChar">
    <w:name w:val="Élőfej Char"/>
    <w:basedOn w:val="Bekezdsalapbettpusa"/>
    <w:link w:val="lfej"/>
    <w:uiPriority w:val="99"/>
    <w:rsid w:val="007610B3"/>
  </w:style>
  <w:style w:type="paragraph" w:styleId="llb">
    <w:name w:val="footer"/>
    <w:basedOn w:val="Norml"/>
    <w:link w:val="llbChar"/>
    <w:uiPriority w:val="99"/>
    <w:unhideWhenUsed/>
    <w:rsid w:val="007610B3"/>
    <w:pPr>
      <w:tabs>
        <w:tab w:val="center" w:pos="4536"/>
        <w:tab w:val="right" w:pos="9072"/>
      </w:tabs>
      <w:spacing w:after="0" w:line="240" w:lineRule="auto"/>
    </w:pPr>
  </w:style>
  <w:style w:type="character" w:customStyle="1" w:styleId="llbChar">
    <w:name w:val="Élőláb Char"/>
    <w:basedOn w:val="Bekezdsalapbettpusa"/>
    <w:link w:val="llb"/>
    <w:uiPriority w:val="99"/>
    <w:rsid w:val="007610B3"/>
  </w:style>
  <w:style w:type="paragraph" w:styleId="Buborkszveg">
    <w:name w:val="Balloon Text"/>
    <w:basedOn w:val="Norml"/>
    <w:link w:val="BuborkszvegChar"/>
    <w:uiPriority w:val="99"/>
    <w:semiHidden/>
    <w:unhideWhenUsed/>
    <w:rsid w:val="007610B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610B3"/>
    <w:rPr>
      <w:rFonts w:ascii="Tahoma" w:hAnsi="Tahoma" w:cs="Tahoma"/>
      <w:sz w:val="16"/>
      <w:szCs w:val="16"/>
    </w:rPr>
  </w:style>
  <w:style w:type="paragraph" w:styleId="Listaszerbekezds">
    <w:name w:val="List Paragraph"/>
    <w:aliases w:val="List Paragraph à moi,lista_2,Eszeri felsorolás,List Paragraph1,Welt L Char,Welt L,Bullet List,FooterText,numbered,Paragraphe de liste1,Bulletr List Paragraph,列出段落,列出段落1,Listeafsnit1,リスト段落1,List Paragraph,Dot pt,Számozott lista 1"/>
    <w:basedOn w:val="Norml"/>
    <w:link w:val="ListaszerbekezdsChar"/>
    <w:uiPriority w:val="34"/>
    <w:qFormat/>
    <w:rsid w:val="007610B3"/>
    <w:pPr>
      <w:ind w:left="720"/>
      <w:contextualSpacing/>
    </w:pPr>
  </w:style>
  <w:style w:type="paragraph" w:styleId="NormlWeb">
    <w:name w:val="Normal (Web)"/>
    <w:basedOn w:val="Norml"/>
    <w:uiPriority w:val="99"/>
    <w:unhideWhenUsed/>
    <w:rsid w:val="007610B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Eszeri felsorolás Char,List Paragraph1 Char,Welt L Char Char,Welt L Char1,Bullet List Char,FooterText Char,numbered Char,Paragraphe de liste1 Char,Bulletr List Paragraph Char,列出段落 Char"/>
    <w:link w:val="Listaszerbekezds"/>
    <w:uiPriority w:val="34"/>
    <w:qFormat/>
    <w:locked/>
    <w:rsid w:val="007610B3"/>
  </w:style>
  <w:style w:type="character" w:styleId="Kiemels2">
    <w:name w:val="Strong"/>
    <w:basedOn w:val="Bekezdsalapbettpusa"/>
    <w:uiPriority w:val="22"/>
    <w:qFormat/>
    <w:rsid w:val="00B15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3936</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PantyaErika</dc:creator>
  <cp:lastModifiedBy>Norbert Puskás</cp:lastModifiedBy>
  <cp:revision>3</cp:revision>
  <dcterms:created xsi:type="dcterms:W3CDTF">2026-02-22T18:35:00Z</dcterms:created>
  <dcterms:modified xsi:type="dcterms:W3CDTF">2026-02-22T18:35:00Z</dcterms:modified>
</cp:coreProperties>
</file>